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0F0939" w14:textId="77777777" w:rsidR="00EA06EE" w:rsidRDefault="00C26098">
      <w:pPr>
        <w:spacing w:after="200"/>
      </w:pPr>
      <w:bookmarkStart w:id="0" w:name="_GoBack"/>
      <w:bookmarkEnd w:id="0"/>
      <w:r>
        <w:rPr>
          <w:rFonts w:ascii="Arial" w:eastAsia="Arial" w:hAnsi="Arial" w:cs="Arial"/>
          <w:b/>
          <w:bCs/>
          <w:color w:val="1B2A4A"/>
          <w:sz w:val="36"/>
          <w:szCs w:val="36"/>
        </w:rPr>
        <w:t>Project Sheet &amp; Intake Questionnaire</w:t>
      </w:r>
    </w:p>
    <w:p w14:paraId="15E18C1A" w14:textId="77777777" w:rsidR="00EA06EE" w:rsidRDefault="00C26098">
      <w:pPr>
        <w:spacing w:after="400"/>
      </w:pPr>
      <w:r>
        <w:rPr>
          <w:rFonts w:ascii="Arial" w:eastAsia="Arial" w:hAnsi="Arial" w:cs="Arial"/>
          <w:i/>
          <w:iCs/>
          <w:color w:val="C5A572"/>
          <w:sz w:val="22"/>
          <w:szCs w:val="22"/>
        </w:rPr>
        <w:t>Client Onboarding &amp; Project Scoping</w:t>
      </w:r>
    </w:p>
    <w:p w14:paraId="08C8845D" w14:textId="77777777" w:rsidR="00EA06EE" w:rsidRDefault="00C26098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Complete all fields during the initial client meeting. This document forms the basis for all subsequent project deliverables.</w:t>
      </w:r>
    </w:p>
    <w:p w14:paraId="0F8A8FC5" w14:textId="77777777" w:rsidR="00EA06EE" w:rsidRDefault="00C2609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1. Client Information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EA06EE" w14:paraId="707833A1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BA43F2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Company Name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CD6A69" w14:textId="77777777" w:rsidR="00EA06EE" w:rsidRDefault="00C26098">
            <w:proofErr w:type="spellStart"/>
            <w:r>
              <w:rPr>
                <w:rFonts w:ascii="Arial" w:eastAsia="Arial" w:hAnsi="Arial" w:cs="Arial"/>
                <w:color w:val="333333"/>
              </w:rPr>
              <w:t>TechFlow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Solutions GmbH</w:t>
            </w:r>
          </w:p>
        </w:tc>
      </w:tr>
      <w:tr w:rsidR="00EA06EE" w14:paraId="30F90E3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E61A07F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Industry / Sector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570F77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Industrial Automation &amp; IoT</w:t>
            </w:r>
          </w:p>
        </w:tc>
      </w:tr>
      <w:tr w:rsidR="00EA06EE" w14:paraId="707FF03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A3207B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Headquarters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621F9FB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Munich,</w:t>
            </w:r>
            <w:r>
              <w:rPr>
                <w:rFonts w:ascii="Arial" w:eastAsia="Arial" w:hAnsi="Arial" w:cs="Arial"/>
                <w:color w:val="333333"/>
              </w:rPr>
              <w:t xml:space="preserve"> Germany</w:t>
            </w:r>
          </w:p>
        </w:tc>
      </w:tr>
      <w:tr w:rsidR="00EA06EE" w14:paraId="02BAD2E5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2F6C9B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Contact Person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166759C" w14:textId="77777777" w:rsidR="00EA06EE" w:rsidRDefault="00C26098">
            <w:proofErr w:type="spellStart"/>
            <w:r>
              <w:rPr>
                <w:rFonts w:ascii="Arial" w:eastAsia="Arial" w:hAnsi="Arial" w:cs="Arial"/>
                <w:color w:val="333333"/>
              </w:rPr>
              <w:t>Dr.</w:t>
            </w:r>
            <w:proofErr w:type="spellEnd"/>
            <w:r>
              <w:rPr>
                <w:rFonts w:ascii="Arial" w:eastAsia="Arial" w:hAnsi="Arial" w:cs="Arial"/>
                <w:color w:val="333333"/>
              </w:rPr>
              <w:t xml:space="preserve"> Stefan Mueller, VP Business Development</w:t>
            </w:r>
          </w:p>
        </w:tc>
      </w:tr>
      <w:tr w:rsidR="00EA06EE" w14:paraId="6A927D5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43939FC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Email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726B7E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s.mueller@techflow.de</w:t>
            </w:r>
          </w:p>
        </w:tc>
      </w:tr>
      <w:tr w:rsidR="00EA06EE" w14:paraId="35AD696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DE5D47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Phone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DAD1FE5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+49 89 123 4567</w:t>
            </w:r>
          </w:p>
        </w:tc>
      </w:tr>
      <w:tr w:rsidR="00EA06EE" w14:paraId="24A3353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8B0C298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Website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02633F0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www.techflow-solutions.com</w:t>
            </w:r>
          </w:p>
        </w:tc>
      </w:tr>
      <w:tr w:rsidR="00EA06EE" w14:paraId="0E4ABD74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3C325A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Annual Revenue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4647E36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€45M (2023)</w:t>
            </w:r>
          </w:p>
        </w:tc>
      </w:tr>
    </w:tbl>
    <w:p w14:paraId="6452CAD4" w14:textId="77777777" w:rsidR="00EA06EE" w:rsidRDefault="00C2609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2. Market Entry Objectives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EA06EE" w14:paraId="0E8775B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73C0FFD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Target Market(s)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63E491C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Kenya, Nigeria, Ghana</w:t>
            </w:r>
          </w:p>
        </w:tc>
      </w:tr>
      <w:tr w:rsidR="00EA06EE" w14:paraId="01145EEE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DBCA0D5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Primary Objective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730F07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Find Distributors &amp; Retail Buyers</w:t>
            </w:r>
          </w:p>
        </w:tc>
      </w:tr>
      <w:tr w:rsidR="00EA06EE" w14:paraId="793CC503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58A8CB5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Product/Service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F44B0BB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Smart factory sensors &amp; monitoring systems</w:t>
            </w:r>
          </w:p>
        </w:tc>
      </w:tr>
      <w:tr w:rsidR="00EA06EE" w14:paraId="28BD5C50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B5F0528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Target Segments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755918A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Manufacturing, Food Processing, Mining</w:t>
            </w:r>
          </w:p>
        </w:tc>
      </w:tr>
      <w:tr w:rsidR="00EA06EE" w14:paraId="0BFD46E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8B223D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Timeline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AD21FB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Q2 2025 market entry</w:t>
            </w:r>
          </w:p>
        </w:tc>
      </w:tr>
      <w:tr w:rsidR="00EA06EE" w14:paraId="3C4295A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E9669B6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Budget Range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B621168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€15,000 – €25,000</w:t>
            </w:r>
          </w:p>
        </w:tc>
      </w:tr>
    </w:tbl>
    <w:p w14:paraId="6173FD76" w14:textId="77777777" w:rsidR="00EA06EE" w:rsidRDefault="00C2609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3. Product Information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EA06EE" w14:paraId="02ABE83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9CF70E2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Product Category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2A5FD9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Industrial IoT Sensors</w:t>
            </w:r>
          </w:p>
        </w:tc>
      </w:tr>
      <w:tr w:rsidR="00EA06EE" w14:paraId="5B8A5C9A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7F769E8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Price Range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9A6B56A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€500 – €5,000 per unit</w:t>
            </w:r>
          </w:p>
        </w:tc>
      </w:tr>
      <w:tr w:rsidR="00EA06EE" w14:paraId="2CE54DBB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60F6984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Certifications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84FEA88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CE, ISO 9001, IECEx</w:t>
            </w:r>
          </w:p>
        </w:tc>
      </w:tr>
      <w:tr w:rsidR="00EA06EE" w14:paraId="0148FC7C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73E3CF2E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Competitive Advantage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5900629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AI-powered predictive maintenance</w:t>
            </w:r>
          </w:p>
        </w:tc>
      </w:tr>
      <w:tr w:rsidR="00EA06EE" w14:paraId="6A884427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80ACD41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Current Markets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17116E7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EU, Middle East, Southeast Asia</w:t>
            </w:r>
          </w:p>
        </w:tc>
      </w:tr>
    </w:tbl>
    <w:p w14:paraId="08AB7AC4" w14:textId="77777777" w:rsidR="00EA06EE" w:rsidRDefault="00C2609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t>4. Special Requirements</w:t>
      </w:r>
    </w:p>
    <w:p w14:paraId="3591740A" w14:textId="77777777" w:rsidR="00EA06EE" w:rsidRDefault="00C26098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Note any regulatory, logistical, or partnership preferences.</w:t>
      </w:r>
    </w:p>
    <w:p w14:paraId="281D7E5F" w14:textId="77777777" w:rsidR="00EA06EE" w:rsidRDefault="00C26098">
      <w:pPr>
        <w:spacing w:after="120"/>
      </w:pPr>
      <w:r>
        <w:rPr>
          <w:rFonts w:ascii="Arial" w:eastAsia="Arial" w:hAnsi="Arial" w:cs="Arial"/>
          <w:color w:val="333333"/>
        </w:rPr>
        <w:t>Client requires partners with existing relationships in the manufacturing sector. Preference for distributors with technical support ca</w:t>
      </w:r>
      <w:r>
        <w:rPr>
          <w:rFonts w:ascii="Arial" w:eastAsia="Arial" w:hAnsi="Arial" w:cs="Arial"/>
          <w:color w:val="333333"/>
        </w:rPr>
        <w:t>pabilities and after-sales service infrastructure.</w:t>
      </w:r>
    </w:p>
    <w:p w14:paraId="0E85DB15" w14:textId="77777777" w:rsidR="00EA06EE" w:rsidRDefault="00C26098">
      <w:pPr>
        <w:pBdr>
          <w:bottom w:val="single" w:sz="2" w:space="4" w:color="C5A572"/>
        </w:pBdr>
        <w:spacing w:before="300" w:after="150"/>
      </w:pPr>
      <w:r>
        <w:rPr>
          <w:rFonts w:ascii="Arial" w:eastAsia="Arial" w:hAnsi="Arial" w:cs="Arial"/>
          <w:b/>
          <w:bCs/>
          <w:color w:val="1B2A4A"/>
          <w:sz w:val="26"/>
          <w:szCs w:val="26"/>
        </w:rPr>
        <w:lastRenderedPageBreak/>
        <w:t>5. Internal Notes</w:t>
      </w:r>
    </w:p>
    <w:p w14:paraId="40325C91" w14:textId="77777777" w:rsidR="00EA06EE" w:rsidRDefault="00C26098">
      <w:pPr>
        <w:shd w:val="clear" w:color="auto" w:fill="F5F0E8"/>
        <w:spacing w:after="150"/>
      </w:pPr>
      <w:r>
        <w:rPr>
          <w:rFonts w:ascii="Arial" w:eastAsia="Arial" w:hAnsi="Arial" w:cs="Arial"/>
          <w:i/>
          <w:iCs/>
          <w:color w:val="C5A572"/>
          <w:sz w:val="18"/>
          <w:szCs w:val="18"/>
        </w:rPr>
        <w:t>📝</w:t>
      </w:r>
      <w:r>
        <w:rPr>
          <w:rFonts w:ascii="Arial" w:eastAsia="Arial" w:hAnsi="Arial" w:cs="Arial"/>
          <w:i/>
          <w:iCs/>
          <w:color w:val="C5A572"/>
          <w:sz w:val="18"/>
          <w:szCs w:val="18"/>
        </w:rPr>
        <w:t xml:space="preserve"> For SCA Partner internal use only.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200"/>
        <w:gridCol w:w="6160"/>
      </w:tblGrid>
      <w:tr w:rsidR="00EA06EE" w14:paraId="0ED71CE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715F965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Assigned Consultant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0D85E9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Jean-Pierre Nkurunziza</w:t>
            </w:r>
          </w:p>
        </w:tc>
      </w:tr>
      <w:tr w:rsidR="00EA06EE" w14:paraId="74E08B18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D7C9AEA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Project Priority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04FEA68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High</w:t>
            </w:r>
          </w:p>
        </w:tc>
      </w:tr>
      <w:tr w:rsidR="00EA06EE" w14:paraId="72C0F062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450676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Estimated Duration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415C8B1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4–6 months</w:t>
            </w:r>
          </w:p>
        </w:tc>
      </w:tr>
      <w:tr w:rsidR="00EA06EE" w14:paraId="327E13F9" w14:textId="77777777">
        <w:tblPrEx>
          <w:tblCellMar>
            <w:top w:w="0" w:type="dxa"/>
            <w:bottom w:w="0" w:type="dxa"/>
          </w:tblCellMar>
        </w:tblPrEx>
        <w:tc>
          <w:tcPr>
            <w:tcW w:w="32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5F0E8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ED2E7BE" w14:textId="77777777" w:rsidR="00EA06EE" w:rsidRDefault="00C26098">
            <w:r>
              <w:rPr>
                <w:rFonts w:ascii="Arial" w:eastAsia="Arial" w:hAnsi="Arial" w:cs="Arial"/>
                <w:b/>
                <w:bCs/>
                <w:color w:val="1B2A4A"/>
              </w:rPr>
              <w:t>Risk Level</w:t>
            </w:r>
          </w:p>
        </w:tc>
        <w:tc>
          <w:tcPr>
            <w:tcW w:w="61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C1165E0" w14:textId="77777777" w:rsidR="00EA06EE" w:rsidRDefault="00C26098">
            <w:r>
              <w:rPr>
                <w:rFonts w:ascii="Arial" w:eastAsia="Arial" w:hAnsi="Arial" w:cs="Arial"/>
                <w:color w:val="333333"/>
              </w:rPr>
              <w:t>Medium — regulatory complexity in Nigeria</w:t>
            </w:r>
          </w:p>
        </w:tc>
      </w:tr>
    </w:tbl>
    <w:p w14:paraId="29D109E1" w14:textId="77777777" w:rsidR="00000000" w:rsidRDefault="00C26098"/>
    <w:sectPr w:rsidR="00000000">
      <w:pgSz w:w="12240" w:h="15840"/>
      <w:pgMar w:top="1440" w:right="1200" w:bottom="1200" w:left="12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76262"/>
    <w:multiLevelType w:val="hybridMultilevel"/>
    <w:tmpl w:val="4BC2DF16"/>
    <w:lvl w:ilvl="0" w:tplc="D970278E">
      <w:start w:val="1"/>
      <w:numFmt w:val="bullet"/>
      <w:lvlText w:val="●"/>
      <w:lvlJc w:val="left"/>
      <w:pPr>
        <w:ind w:left="720" w:hanging="360"/>
      </w:pPr>
    </w:lvl>
    <w:lvl w:ilvl="1" w:tplc="E2D6BC9C">
      <w:start w:val="1"/>
      <w:numFmt w:val="bullet"/>
      <w:lvlText w:val="○"/>
      <w:lvlJc w:val="left"/>
      <w:pPr>
        <w:ind w:left="1440" w:hanging="360"/>
      </w:pPr>
    </w:lvl>
    <w:lvl w:ilvl="2" w:tplc="54EAF5D8">
      <w:start w:val="1"/>
      <w:numFmt w:val="bullet"/>
      <w:lvlText w:val="■"/>
      <w:lvlJc w:val="left"/>
      <w:pPr>
        <w:ind w:left="2160" w:hanging="360"/>
      </w:pPr>
    </w:lvl>
    <w:lvl w:ilvl="3" w:tplc="24402150">
      <w:start w:val="1"/>
      <w:numFmt w:val="bullet"/>
      <w:lvlText w:val="●"/>
      <w:lvlJc w:val="left"/>
      <w:pPr>
        <w:ind w:left="2880" w:hanging="360"/>
      </w:pPr>
    </w:lvl>
    <w:lvl w:ilvl="4" w:tplc="826282A2">
      <w:start w:val="1"/>
      <w:numFmt w:val="bullet"/>
      <w:lvlText w:val="○"/>
      <w:lvlJc w:val="left"/>
      <w:pPr>
        <w:ind w:left="3600" w:hanging="360"/>
      </w:pPr>
    </w:lvl>
    <w:lvl w:ilvl="5" w:tplc="FB0A6F02">
      <w:start w:val="1"/>
      <w:numFmt w:val="bullet"/>
      <w:lvlText w:val="■"/>
      <w:lvlJc w:val="left"/>
      <w:pPr>
        <w:ind w:left="4320" w:hanging="360"/>
      </w:pPr>
    </w:lvl>
    <w:lvl w:ilvl="6" w:tplc="288874C8">
      <w:start w:val="1"/>
      <w:numFmt w:val="bullet"/>
      <w:lvlText w:val="●"/>
      <w:lvlJc w:val="left"/>
      <w:pPr>
        <w:ind w:left="5040" w:hanging="360"/>
      </w:pPr>
    </w:lvl>
    <w:lvl w:ilvl="7" w:tplc="7D92E2C8">
      <w:start w:val="1"/>
      <w:numFmt w:val="bullet"/>
      <w:lvlText w:val="●"/>
      <w:lvlJc w:val="left"/>
      <w:pPr>
        <w:ind w:left="5760" w:hanging="360"/>
      </w:pPr>
    </w:lvl>
    <w:lvl w:ilvl="8" w:tplc="90D4A726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6F460F66"/>
    <w:multiLevelType w:val="hybridMultilevel"/>
    <w:tmpl w:val="EA70859A"/>
    <w:lvl w:ilvl="0" w:tplc="088AE776">
      <w:start w:val="1"/>
      <w:numFmt w:val="bullet"/>
      <w:lvlText w:val="•"/>
      <w:lvlJc w:val="left"/>
      <w:pPr>
        <w:ind w:left="720" w:hanging="360"/>
      </w:pPr>
    </w:lvl>
    <w:lvl w:ilvl="1" w:tplc="2A2EB254">
      <w:numFmt w:val="decimal"/>
      <w:lvlText w:val=""/>
      <w:lvlJc w:val="left"/>
    </w:lvl>
    <w:lvl w:ilvl="2" w:tplc="DFD237C0">
      <w:numFmt w:val="decimal"/>
      <w:lvlText w:val=""/>
      <w:lvlJc w:val="left"/>
    </w:lvl>
    <w:lvl w:ilvl="3" w:tplc="53DC967E">
      <w:numFmt w:val="decimal"/>
      <w:lvlText w:val=""/>
      <w:lvlJc w:val="left"/>
    </w:lvl>
    <w:lvl w:ilvl="4" w:tplc="C8F2A820">
      <w:numFmt w:val="decimal"/>
      <w:lvlText w:val=""/>
      <w:lvlJc w:val="left"/>
    </w:lvl>
    <w:lvl w:ilvl="5" w:tplc="578E7C86">
      <w:numFmt w:val="decimal"/>
      <w:lvlText w:val=""/>
      <w:lvlJc w:val="left"/>
    </w:lvl>
    <w:lvl w:ilvl="6" w:tplc="A39E6862">
      <w:numFmt w:val="decimal"/>
      <w:lvlText w:val=""/>
      <w:lvlJc w:val="left"/>
    </w:lvl>
    <w:lvl w:ilvl="7" w:tplc="CFFA67AA">
      <w:numFmt w:val="decimal"/>
      <w:lvlText w:val=""/>
      <w:lvlJc w:val="left"/>
    </w:lvl>
    <w:lvl w:ilvl="8" w:tplc="709C77E2">
      <w:numFmt w:val="decimal"/>
      <w:lvlText w:val=""/>
      <w:lvlJc w:val="left"/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06EE"/>
    <w:rsid w:val="00C26098"/>
    <w:rsid w:val="00EA0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394A5F"/>
  <w15:docId w15:val="{3A844561-F22E-42F9-B8C1-BC6D8B46D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Heading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Vincent Odhiambo</cp:lastModifiedBy>
  <cp:revision>2</cp:revision>
  <dcterms:created xsi:type="dcterms:W3CDTF">2026-04-11T14:49:00Z</dcterms:created>
  <dcterms:modified xsi:type="dcterms:W3CDTF">2026-04-11T14:49:00Z</dcterms:modified>
</cp:coreProperties>
</file>