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0918E" w14:textId="77777777" w:rsidR="00530E71" w:rsidRDefault="00B54F9F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Market Intelligence Report</w:t>
      </w:r>
    </w:p>
    <w:p w14:paraId="6E8CFC81" w14:textId="77777777" w:rsidR="00530E71" w:rsidRDefault="00B54F9F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Market Overview, Demand Analysis &amp; Opportunity Sizing</w:t>
      </w:r>
    </w:p>
    <w:p w14:paraId="31BFCDE3" w14:textId="77777777" w:rsidR="00530E71" w:rsidRDefault="00B54F9F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This report provides a comprehensive overview of the target market. Update with latest data before client presentation.</w:t>
      </w:r>
    </w:p>
    <w:p w14:paraId="264A3C08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Market Overview</w:t>
      </w:r>
    </w:p>
    <w:p w14:paraId="08EDCC16" w14:textId="77777777" w:rsidR="00530E71" w:rsidRDefault="00B54F9F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Kenya — Industrial Automation Sector</w:t>
      </w:r>
    </w:p>
    <w:p w14:paraId="25BB1EEB" w14:textId="77777777" w:rsidR="00530E71" w:rsidRDefault="00B54F9F">
      <w:pPr>
        <w:spacing w:after="120"/>
      </w:pPr>
      <w:r>
        <w:rPr>
          <w:rFonts w:ascii="Arial" w:eastAsia="Arial" w:hAnsi="Arial" w:cs="Arial"/>
          <w:color w:val="333333"/>
        </w:rPr>
        <w:t>Kenya's manufacturing sector contributes 7.6% to GDP, with the government's V</w:t>
      </w:r>
      <w:r>
        <w:rPr>
          <w:rFonts w:ascii="Arial" w:eastAsia="Arial" w:hAnsi="Arial" w:cs="Arial"/>
          <w:color w:val="333333"/>
        </w:rPr>
        <w:t>ision 2030 initiative driving industrial modernization. The Kenya Association of Manufacturers (KAM) reports 800+ registered manufacturers, with growing demand for automation and IoT solutions.</w:t>
      </w:r>
    </w:p>
    <w:p w14:paraId="169DD652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Demand Analysis</w:t>
      </w:r>
    </w:p>
    <w:p w14:paraId="4033BD10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68% of Kenyan manufacturers plan to invest </w:t>
      </w:r>
      <w:r>
        <w:rPr>
          <w:rFonts w:ascii="Arial" w:eastAsia="Arial" w:hAnsi="Arial" w:cs="Arial"/>
          <w:color w:val="333333"/>
        </w:rPr>
        <w:t>in automation by 2026</w:t>
      </w:r>
    </w:p>
    <w:p w14:paraId="1BE8EE46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IoT adoption in East Africa growing at 23% CAGR</w:t>
      </w:r>
    </w:p>
    <w:p w14:paraId="5209B6A4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Key demand drivers: </w:t>
      </w:r>
      <w:proofErr w:type="spellStart"/>
      <w:r>
        <w:rPr>
          <w:rFonts w:ascii="Arial" w:eastAsia="Arial" w:hAnsi="Arial" w:cs="Arial"/>
          <w:color w:val="333333"/>
        </w:rPr>
        <w:t>labor</w:t>
      </w:r>
      <w:proofErr w:type="spellEnd"/>
      <w:r>
        <w:rPr>
          <w:rFonts w:ascii="Arial" w:eastAsia="Arial" w:hAnsi="Arial" w:cs="Arial"/>
          <w:color w:val="333333"/>
        </w:rPr>
        <w:t xml:space="preserve"> costs, quality compliance, export competitiveness</w:t>
      </w:r>
    </w:p>
    <w:p w14:paraId="59B088CB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Primary buyer segments: food processing (35%), automotive parts (20%), textiles (15%)</w:t>
      </w:r>
    </w:p>
    <w:p w14:paraId="647CBE11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Regulatory Insights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160"/>
      </w:tblGrid>
      <w:tr w:rsidR="00530E71" w14:paraId="2470BC2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9488B7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1B2A4A"/>
              </w:rPr>
              <w:t>mport Duties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4D9597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15% on industrial electronics (EAC CET)</w:t>
            </w:r>
          </w:p>
        </w:tc>
      </w:tr>
      <w:tr w:rsidR="00530E71" w14:paraId="45CCFDE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EE7557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Standards Body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18504A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Kenya Bureau of Standards (KEBS)</w:t>
            </w:r>
          </w:p>
        </w:tc>
      </w:tr>
      <w:tr w:rsidR="00530E71" w14:paraId="22E5DF8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344FCB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Required Certs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E5FB48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 xml:space="preserve">KEBS certification +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CoC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from origin country</w:t>
            </w:r>
          </w:p>
        </w:tc>
      </w:tr>
      <w:tr w:rsidR="00530E71" w14:paraId="1476E47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BC5CB6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Tax Incentives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3D8DD4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SEZ manufacturers: 10-year tax holiday</w:t>
            </w:r>
          </w:p>
        </w:tc>
      </w:tr>
      <w:tr w:rsidR="00530E71" w14:paraId="6CB82CF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26A881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Local Content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1B3474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30% local content preferred for govt contracts</w:t>
            </w:r>
          </w:p>
        </w:tc>
      </w:tr>
    </w:tbl>
    <w:p w14:paraId="70A0FB7B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Opportunity Sizing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160"/>
      </w:tblGrid>
      <w:tr w:rsidR="00530E71" w14:paraId="655F3C4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DC871B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Total Addressable Market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380687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€85M (East Africa industrial IoT)</w:t>
            </w:r>
          </w:p>
        </w:tc>
      </w:tr>
      <w:tr w:rsidR="00530E71" w14:paraId="5354882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98B528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Serviceable Market (Kenya)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6A83F1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€28M</w:t>
            </w:r>
          </w:p>
        </w:tc>
      </w:tr>
      <w:tr w:rsidR="00530E71" w14:paraId="00C022E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CF8CEBB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Target Segment Value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1FD877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€8.5M (manufacturing monitoring)</w:t>
            </w:r>
          </w:p>
        </w:tc>
      </w:tr>
      <w:tr w:rsidR="00530E71" w14:paraId="4B988F0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06B673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Year 1 Revenue Target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925A22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€350K (70 units across 8 clients)</w:t>
            </w:r>
          </w:p>
        </w:tc>
      </w:tr>
      <w:tr w:rsidR="00530E71" w14:paraId="0EC15F6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B521F2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Year 3 Projection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E3FF2E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€1.2M with recurring license revenue</w:t>
            </w:r>
          </w:p>
        </w:tc>
      </w:tr>
    </w:tbl>
    <w:p w14:paraId="2B74D3A6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5. Distribution Landscape</w:t>
      </w:r>
    </w:p>
    <w:p w14:paraId="3BE83EC1" w14:textId="77777777" w:rsidR="00530E71" w:rsidRDefault="00B54F9F">
      <w:pPr>
        <w:spacing w:after="120"/>
      </w:pPr>
      <w:r>
        <w:rPr>
          <w:rFonts w:ascii="Arial" w:eastAsia="Arial" w:hAnsi="Arial" w:cs="Arial"/>
          <w:color w:val="333333"/>
        </w:rPr>
        <w:t>Kenya has 12–15 established industrial equipment distributors with national reach. Key hubs: Nairobi (Industrial Area), Mombasa (port-adjacent), and Nakuru (agricultural processing).</w:t>
      </w:r>
    </w:p>
    <w:p w14:paraId="57BC3579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Top Distributor: 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— 40+ branches, strong technical team</w:t>
      </w:r>
    </w:p>
    <w:p w14:paraId="6A5C481C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Emerging: Orion East Africa — IoT-focused, growing rapidly</w:t>
      </w:r>
    </w:p>
    <w:p w14:paraId="71473C40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Niche: Centurion Systems — automation specialists, Southern Africa HQ</w:t>
      </w:r>
    </w:p>
    <w:p w14:paraId="54DF5A89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lastRenderedPageBreak/>
        <w:t>6. Competitor Activity</w:t>
      </w:r>
    </w:p>
    <w:p w14:paraId="17A11A34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Siemens: Established presence, premium pricing, enterprise focus</w:t>
      </w:r>
    </w:p>
    <w:p w14:paraId="1A770DF7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Schneider Electric: Strong partnerships</w:t>
      </w:r>
      <w:r>
        <w:rPr>
          <w:rFonts w:ascii="Arial" w:eastAsia="Arial" w:hAnsi="Arial" w:cs="Arial"/>
          <w:color w:val="333333"/>
        </w:rPr>
        <w:t>, broad portfolio</w:t>
      </w:r>
    </w:p>
    <w:p w14:paraId="645F84BC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ABB: Growing, targeting mining and energy sectors</w:t>
      </w:r>
    </w:p>
    <w:p w14:paraId="3F740F7E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Gap: Mid-market IoT solutions with local support — </w:t>
      </w:r>
      <w:proofErr w:type="spellStart"/>
      <w:r>
        <w:rPr>
          <w:rFonts w:ascii="Arial" w:eastAsia="Arial" w:hAnsi="Arial" w:cs="Arial"/>
          <w:color w:val="333333"/>
        </w:rPr>
        <w:t>TechFlow</w:t>
      </w:r>
      <w:proofErr w:type="spellEnd"/>
      <w:r>
        <w:rPr>
          <w:rFonts w:ascii="Arial" w:eastAsia="Arial" w:hAnsi="Arial" w:cs="Arial"/>
          <w:color w:val="333333"/>
        </w:rPr>
        <w:t xml:space="preserve"> opportunity</w:t>
      </w:r>
    </w:p>
    <w:p w14:paraId="62831D87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7. Key Risks &amp; Mitigations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160"/>
      </w:tblGrid>
      <w:tr w:rsidR="00530E71" w14:paraId="16975E7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10AC31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Currency Risk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AAC013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KES volatility — price in USD, hedge quarterly</w:t>
            </w:r>
          </w:p>
        </w:tc>
      </w:tr>
      <w:tr w:rsidR="00530E71" w14:paraId="1598025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0EB7BE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Payment Terms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ABD1AE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60-day standard — consider LC for initial orders</w:t>
            </w:r>
          </w:p>
        </w:tc>
      </w:tr>
      <w:tr w:rsidR="00530E71" w14:paraId="15DC9CD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9F70E5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IP Protection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BAC322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Register trademarks via KIPI before launch</w:t>
            </w:r>
          </w:p>
        </w:tc>
      </w:tr>
      <w:tr w:rsidR="00530E71" w14:paraId="3F94F98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797B08" w14:textId="77777777" w:rsidR="00530E71" w:rsidRDefault="00B54F9F">
            <w:r>
              <w:rPr>
                <w:rFonts w:ascii="Arial" w:eastAsia="Arial" w:hAnsi="Arial" w:cs="Arial"/>
                <w:b/>
                <w:bCs/>
                <w:color w:val="1B2A4A"/>
              </w:rPr>
              <w:t>Political Risk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71D214" w14:textId="77777777" w:rsidR="00530E71" w:rsidRDefault="00B54F9F">
            <w:r>
              <w:rPr>
                <w:rFonts w:ascii="Arial" w:eastAsia="Arial" w:hAnsi="Arial" w:cs="Arial"/>
                <w:color w:val="333333"/>
              </w:rPr>
              <w:t>Low — Kenya rated stable by Moody's (B2)</w:t>
            </w:r>
          </w:p>
        </w:tc>
      </w:tr>
    </w:tbl>
    <w:p w14:paraId="51353C41" w14:textId="77777777" w:rsidR="00530E71" w:rsidRDefault="00B54F9F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8. Recommendations</w:t>
      </w:r>
    </w:p>
    <w:p w14:paraId="02557AC2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Enter via exclusive distributor model with 2-year renewable agreement</w:t>
      </w:r>
    </w:p>
    <w:p w14:paraId="24532298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Ta</w:t>
      </w:r>
      <w:r>
        <w:rPr>
          <w:rFonts w:ascii="Arial" w:eastAsia="Arial" w:hAnsi="Arial" w:cs="Arial"/>
          <w:color w:val="333333"/>
        </w:rPr>
        <w:t>rget food processing and manufacturing segments first</w:t>
      </w:r>
    </w:p>
    <w:p w14:paraId="2462EAF4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Establish Nairobi-based technical support hub within 6 months</w:t>
      </w:r>
    </w:p>
    <w:p w14:paraId="01DC52EF" w14:textId="77777777" w:rsidR="00530E71" w:rsidRDefault="00B54F9F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Leverage Kenya as East African gateway (Uganda, Tanzania, Rwanda)</w:t>
      </w:r>
    </w:p>
    <w:sectPr w:rsidR="00530E71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964EB"/>
    <w:multiLevelType w:val="hybridMultilevel"/>
    <w:tmpl w:val="A2F8AD32"/>
    <w:lvl w:ilvl="0" w:tplc="02861DA4">
      <w:start w:val="1"/>
      <w:numFmt w:val="bullet"/>
      <w:lvlText w:val="●"/>
      <w:lvlJc w:val="left"/>
      <w:pPr>
        <w:ind w:left="720" w:hanging="360"/>
      </w:pPr>
    </w:lvl>
    <w:lvl w:ilvl="1" w:tplc="632ABB78">
      <w:start w:val="1"/>
      <w:numFmt w:val="bullet"/>
      <w:lvlText w:val="○"/>
      <w:lvlJc w:val="left"/>
      <w:pPr>
        <w:ind w:left="1440" w:hanging="360"/>
      </w:pPr>
    </w:lvl>
    <w:lvl w:ilvl="2" w:tplc="A1084506">
      <w:start w:val="1"/>
      <w:numFmt w:val="bullet"/>
      <w:lvlText w:val="■"/>
      <w:lvlJc w:val="left"/>
      <w:pPr>
        <w:ind w:left="2160" w:hanging="360"/>
      </w:pPr>
    </w:lvl>
    <w:lvl w:ilvl="3" w:tplc="65E097E6">
      <w:start w:val="1"/>
      <w:numFmt w:val="bullet"/>
      <w:lvlText w:val="●"/>
      <w:lvlJc w:val="left"/>
      <w:pPr>
        <w:ind w:left="2880" w:hanging="360"/>
      </w:pPr>
    </w:lvl>
    <w:lvl w:ilvl="4" w:tplc="FF3E8C7E">
      <w:start w:val="1"/>
      <w:numFmt w:val="bullet"/>
      <w:lvlText w:val="○"/>
      <w:lvlJc w:val="left"/>
      <w:pPr>
        <w:ind w:left="3600" w:hanging="360"/>
      </w:pPr>
    </w:lvl>
    <w:lvl w:ilvl="5" w:tplc="36AE4368">
      <w:start w:val="1"/>
      <w:numFmt w:val="bullet"/>
      <w:lvlText w:val="■"/>
      <w:lvlJc w:val="left"/>
      <w:pPr>
        <w:ind w:left="4320" w:hanging="360"/>
      </w:pPr>
    </w:lvl>
    <w:lvl w:ilvl="6" w:tplc="4D788A5C">
      <w:start w:val="1"/>
      <w:numFmt w:val="bullet"/>
      <w:lvlText w:val="●"/>
      <w:lvlJc w:val="left"/>
      <w:pPr>
        <w:ind w:left="5040" w:hanging="360"/>
      </w:pPr>
    </w:lvl>
    <w:lvl w:ilvl="7" w:tplc="5FB054A0">
      <w:start w:val="1"/>
      <w:numFmt w:val="bullet"/>
      <w:lvlText w:val="●"/>
      <w:lvlJc w:val="left"/>
      <w:pPr>
        <w:ind w:left="5760" w:hanging="360"/>
      </w:pPr>
    </w:lvl>
    <w:lvl w:ilvl="8" w:tplc="0310F02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77E605E"/>
    <w:multiLevelType w:val="hybridMultilevel"/>
    <w:tmpl w:val="9CF4BF84"/>
    <w:lvl w:ilvl="0" w:tplc="A9B87A72">
      <w:start w:val="1"/>
      <w:numFmt w:val="bullet"/>
      <w:lvlText w:val="•"/>
      <w:lvlJc w:val="left"/>
      <w:pPr>
        <w:ind w:left="720" w:hanging="360"/>
      </w:pPr>
    </w:lvl>
    <w:lvl w:ilvl="1" w:tplc="E348D504">
      <w:numFmt w:val="decimal"/>
      <w:lvlText w:val=""/>
      <w:lvlJc w:val="left"/>
    </w:lvl>
    <w:lvl w:ilvl="2" w:tplc="AC7C962C">
      <w:numFmt w:val="decimal"/>
      <w:lvlText w:val=""/>
      <w:lvlJc w:val="left"/>
    </w:lvl>
    <w:lvl w:ilvl="3" w:tplc="B54A7B94">
      <w:numFmt w:val="decimal"/>
      <w:lvlText w:val=""/>
      <w:lvlJc w:val="left"/>
    </w:lvl>
    <w:lvl w:ilvl="4" w:tplc="44501636">
      <w:numFmt w:val="decimal"/>
      <w:lvlText w:val=""/>
      <w:lvlJc w:val="left"/>
    </w:lvl>
    <w:lvl w:ilvl="5" w:tplc="5D60806A">
      <w:numFmt w:val="decimal"/>
      <w:lvlText w:val=""/>
      <w:lvlJc w:val="left"/>
    </w:lvl>
    <w:lvl w:ilvl="6" w:tplc="0636A57E">
      <w:numFmt w:val="decimal"/>
      <w:lvlText w:val=""/>
      <w:lvlJc w:val="left"/>
    </w:lvl>
    <w:lvl w:ilvl="7" w:tplc="3D684DCE">
      <w:numFmt w:val="decimal"/>
      <w:lvlText w:val=""/>
      <w:lvlJc w:val="left"/>
    </w:lvl>
    <w:lvl w:ilvl="8" w:tplc="4FE6A1E2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E71"/>
    <w:rsid w:val="00530E71"/>
    <w:rsid w:val="00B5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67BBB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2026-04-11T14:53:00Z</dcterms:created>
  <dcterms:modified xsi:type="dcterms:W3CDTF">2026-04-11T14:53:00Z</dcterms:modified>
</cp:coreProperties>
</file>