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48611" w14:textId="77777777" w:rsidR="00375B8B" w:rsidRDefault="002A2239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Contract Negotiation Support</w:t>
      </w:r>
    </w:p>
    <w:p w14:paraId="56B7FC7C" w14:textId="77777777" w:rsidR="00375B8B" w:rsidRDefault="002A2239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Key Terms, Tracker &amp; Risk Flags</w:t>
      </w:r>
    </w:p>
    <w:p w14:paraId="6B5E17BB" w14:textId="77777777" w:rsidR="00375B8B" w:rsidRDefault="002A2239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Use this template to track all negotiation points. Update after each negotiation session.</w:t>
      </w:r>
    </w:p>
    <w:p w14:paraId="13C15659" w14:textId="77777777" w:rsidR="00375B8B" w:rsidRDefault="002A2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Negotiation Overview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375B8B" w14:paraId="1409C62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B1A6015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Parties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E4F7F8" w14:textId="77777777" w:rsidR="00375B8B" w:rsidRDefault="002A2239">
            <w:proofErr w:type="spellStart"/>
            <w:r>
              <w:rPr>
                <w:rFonts w:ascii="Arial" w:eastAsia="Arial" w:hAnsi="Arial" w:cs="Arial"/>
                <w:color w:val="333333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Solutions GmbH ↔ Davis &amp; </w:t>
            </w:r>
            <w:proofErr w:type="spellStart"/>
            <w:r>
              <w:rPr>
                <w:rFonts w:ascii="Arial" w:eastAsia="Arial" w:hAnsi="Arial" w:cs="Arial"/>
                <w:color w:val="333333"/>
              </w:rPr>
              <w:t>Shirtliff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Ltd</w:t>
            </w:r>
          </w:p>
        </w:tc>
      </w:tr>
      <w:tr w:rsidR="00375B8B" w14:paraId="2723C1B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029C14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Agreement Type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2A9F08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Exclusive Distribution Agreement</w:t>
            </w:r>
          </w:p>
        </w:tc>
      </w:tr>
      <w:tr w:rsidR="00375B8B" w14:paraId="59DBEC6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1CC1C3F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Territory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645349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Kenya</w:t>
            </w:r>
          </w:p>
        </w:tc>
      </w:tr>
      <w:tr w:rsidR="00375B8B" w14:paraId="5130250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0970A1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Term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32AD53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2 years, renewable</w:t>
            </w:r>
          </w:p>
        </w:tc>
      </w:tr>
      <w:tr w:rsidR="00375B8B" w14:paraId="1FDAD00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08D874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Negotiation Start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64B75A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20 March 2025</w:t>
            </w:r>
          </w:p>
        </w:tc>
      </w:tr>
      <w:tr w:rsidR="00375B8B" w14:paraId="471B173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6BC908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Target Close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A0BF0A0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15 April 2025</w:t>
            </w:r>
          </w:p>
        </w:tc>
      </w:tr>
      <w:tr w:rsidR="00375B8B" w14:paraId="7CFECBA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56AB2A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SCA Lead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8F152B6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Jean-Pierre Nkurunziza</w:t>
            </w:r>
          </w:p>
        </w:tc>
      </w:tr>
    </w:tbl>
    <w:p w14:paraId="55D8E1EC" w14:textId="77777777" w:rsidR="00375B8B" w:rsidRDefault="002A2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Key Terms Tracker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00"/>
        <w:gridCol w:w="2200"/>
        <w:gridCol w:w="2200"/>
        <w:gridCol w:w="1200"/>
        <w:gridCol w:w="1560"/>
      </w:tblGrid>
      <w:tr w:rsidR="00375B8B" w14:paraId="1F343AC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60038E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Term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A756336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Client Position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6BD593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Partner Position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ED42C4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Status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B2A4A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427354A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FFFFFF"/>
                <w:sz w:val="16"/>
                <w:szCs w:val="16"/>
              </w:rPr>
              <w:t>Resolution</w:t>
            </w:r>
          </w:p>
        </w:tc>
      </w:tr>
      <w:tr w:rsidR="00375B8B" w14:paraId="0E3E060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C0283B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Margin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D438E6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35%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F97A4BF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40%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982162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Open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4578F5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Proposed 37%</w:t>
            </w:r>
          </w:p>
        </w:tc>
      </w:tr>
      <w:tr w:rsidR="00375B8B" w14:paraId="58A13D4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C791446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Exclusivity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C0BBF4F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Kenya only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B71988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East Africa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5B5C76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Open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F6DDA1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Kenya Y1, review Y2</w:t>
            </w:r>
          </w:p>
        </w:tc>
      </w:tr>
      <w:tr w:rsidR="00375B8B" w14:paraId="0E52A6D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B7F80D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MOQ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B3D3D9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20 units/quarter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5D336D3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50 units/quarter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EB1465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Agreed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7A3510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30 units/quarter</w:t>
            </w:r>
          </w:p>
        </w:tc>
      </w:tr>
      <w:tr w:rsidR="00375B8B" w14:paraId="6F32A3F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D85676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Payment Terms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79AF1A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30 days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3F6829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90 days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8BE681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Agreed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16B535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60 days net</w:t>
            </w:r>
          </w:p>
        </w:tc>
      </w:tr>
      <w:tr w:rsidR="00375B8B" w14:paraId="678A7F3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CA3D24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Marketing Fund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9836EA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€3K/year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37F88A0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€10K/year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A91EE4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Open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12F694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€5K co-funded</w:t>
            </w:r>
          </w:p>
        </w:tc>
      </w:tr>
      <w:tr w:rsidR="00375B8B" w14:paraId="2CD1460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3FD0D3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Training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63B190C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Online only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3CDEDD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On-site 2x/year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3EA7B7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Agreed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4B4F2BF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1 on-site + online</w:t>
            </w:r>
          </w:p>
        </w:tc>
      </w:tr>
      <w:tr w:rsidR="00375B8B" w14:paraId="73B66CDF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776C2D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IP/Trademark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7DF60E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License only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554CBB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Sub-license rights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6D6D03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Open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FBE614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License, no sub</w:t>
            </w:r>
          </w:p>
        </w:tc>
      </w:tr>
      <w:tr w:rsidR="00375B8B" w14:paraId="29DB80E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87B9E86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Termination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97D49BA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 xml:space="preserve">30 </w:t>
            </w:r>
            <w:proofErr w:type="spellStart"/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days notice</w:t>
            </w:r>
            <w:proofErr w:type="spellEnd"/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82569C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 xml:space="preserve">180 </w:t>
            </w:r>
            <w:proofErr w:type="spellStart"/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days notice</w:t>
            </w:r>
            <w:proofErr w:type="spellEnd"/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1418A31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Open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5F6CBE" w14:textId="77777777" w:rsidR="00375B8B" w:rsidRDefault="002A2239">
            <w:r>
              <w:rPr>
                <w:rFonts w:ascii="Arial" w:eastAsia="Arial" w:hAnsi="Arial" w:cs="Arial"/>
                <w:color w:val="333333"/>
                <w:sz w:val="16"/>
                <w:szCs w:val="16"/>
              </w:rPr>
              <w:t>90 days proposed</w:t>
            </w:r>
          </w:p>
        </w:tc>
      </w:tr>
    </w:tbl>
    <w:p w14:paraId="64EDDE02" w14:textId="77777777" w:rsidR="00375B8B" w:rsidRDefault="002A2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Risk Flags</w:t>
      </w:r>
    </w:p>
    <w:p w14:paraId="146AF1BC" w14:textId="77777777" w:rsidR="00375B8B" w:rsidRDefault="002A2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🔴</w:t>
      </w:r>
      <w:r>
        <w:rPr>
          <w:rFonts w:ascii="Arial" w:eastAsia="Arial" w:hAnsi="Arial" w:cs="Arial"/>
          <w:color w:val="333333"/>
        </w:rPr>
        <w:t xml:space="preserve"> HIGH: Exclusivity scope — East Africa request exceeds client mandate</w:t>
      </w:r>
    </w:p>
    <w:p w14:paraId="65C86833" w14:textId="77777777" w:rsidR="00375B8B" w:rsidRDefault="002A2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🟡</w:t>
      </w:r>
      <w:r>
        <w:rPr>
          <w:rFonts w:ascii="Arial" w:eastAsia="Arial" w:hAnsi="Arial" w:cs="Arial"/>
          <w:color w:val="333333"/>
        </w:rPr>
        <w:t xml:space="preserve"> MEDIUM: Margin gap — 2% difference impacts client profitability</w:t>
      </w:r>
    </w:p>
    <w:p w14:paraId="5452617D" w14:textId="77777777" w:rsidR="00375B8B" w:rsidRDefault="002A2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🟡</w:t>
      </w:r>
      <w:r>
        <w:rPr>
          <w:rFonts w:ascii="Arial" w:eastAsia="Arial" w:hAnsi="Arial" w:cs="Arial"/>
          <w:color w:val="333333"/>
        </w:rPr>
        <w:t xml:space="preserve"> MEDIUM: IP sub-licensing — potential brand control issues</w:t>
      </w:r>
    </w:p>
    <w:p w14:paraId="7772E700" w14:textId="77777777" w:rsidR="00375B8B" w:rsidRDefault="002A2239">
      <w:pPr>
        <w:pStyle w:val="ListParagraph"/>
        <w:numPr>
          <w:ilvl w:val="0"/>
          <w:numId w:val="2"/>
        </w:numPr>
        <w:spacing w:after="60"/>
      </w:pPr>
      <w:r>
        <w:rPr>
          <w:rFonts w:ascii="Arial" w:eastAsia="Arial" w:hAnsi="Arial" w:cs="Arial"/>
          <w:color w:val="333333"/>
        </w:rPr>
        <w:t>🟢</w:t>
      </w:r>
      <w:r>
        <w:rPr>
          <w:rFonts w:ascii="Arial" w:eastAsia="Arial" w:hAnsi="Arial" w:cs="Arial"/>
          <w:color w:val="333333"/>
        </w:rPr>
        <w:t xml:space="preserve"> LOW: Payment terms — resolved at 60 days</w:t>
      </w:r>
    </w:p>
    <w:p w14:paraId="0E14EF1A" w14:textId="77777777" w:rsidR="00375B8B" w:rsidRDefault="002A2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Concessions Log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375B8B" w14:paraId="59F9280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2574E9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Client Concession 1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02FEE3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Increased margin from 35% to 37%</w:t>
            </w:r>
          </w:p>
        </w:tc>
      </w:tr>
      <w:tr w:rsidR="00375B8B" w14:paraId="75998B4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824F8B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Client Concession 2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3252A7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Agreed to €5K co-marketing fund (was €3K)</w:t>
            </w:r>
          </w:p>
        </w:tc>
      </w:tr>
      <w:tr w:rsidR="00375B8B" w14:paraId="713D5B7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8064D4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Partner Concession 1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EA8EA9D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Reduced MOQ from 50 to 30 units/quarter</w:t>
            </w:r>
          </w:p>
        </w:tc>
      </w:tr>
      <w:tr w:rsidR="00375B8B" w14:paraId="39BF05C6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9EA69D9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Partner Concession 2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EB9BA7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Accepted Kenya-only for Year 1</w:t>
            </w:r>
          </w:p>
        </w:tc>
      </w:tr>
    </w:tbl>
    <w:p w14:paraId="704D47EE" w14:textId="77777777" w:rsidR="00375B8B" w:rsidRDefault="002A2239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lastRenderedPageBreak/>
        <w:t>5. Next Negotiation Session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375B8B" w14:paraId="26D2CD4D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CD6ED8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Date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223832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28 March 2025</w:t>
            </w:r>
          </w:p>
        </w:tc>
      </w:tr>
      <w:tr w:rsidR="00375B8B" w14:paraId="582CF2E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01AD579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Focus Items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07C35E9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Exclusivity expansion terms, termination clause</w:t>
            </w:r>
          </w:p>
        </w:tc>
      </w:tr>
      <w:tr w:rsidR="00375B8B" w14:paraId="136CEFBF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F6F662D" w14:textId="77777777" w:rsidR="00375B8B" w:rsidRDefault="002A2239">
            <w:r>
              <w:rPr>
                <w:rFonts w:ascii="Arial" w:eastAsia="Arial" w:hAnsi="Arial" w:cs="Arial"/>
                <w:b/>
                <w:bCs/>
                <w:color w:val="1B2A4A"/>
              </w:rPr>
              <w:t>Preparation Required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AFB984" w14:textId="77777777" w:rsidR="00375B8B" w:rsidRDefault="002A2239">
            <w:r>
              <w:rPr>
                <w:rFonts w:ascii="Arial" w:eastAsia="Arial" w:hAnsi="Arial" w:cs="Arial"/>
                <w:color w:val="333333"/>
              </w:rPr>
              <w:t>Draft compromise language for territory review clause</w:t>
            </w:r>
          </w:p>
        </w:tc>
      </w:tr>
    </w:tbl>
    <w:p w14:paraId="5536305A" w14:textId="77777777" w:rsidR="00000000" w:rsidRDefault="002A2239"/>
    <w:sectPr w:rsidR="00000000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CE45DF"/>
    <w:multiLevelType w:val="hybridMultilevel"/>
    <w:tmpl w:val="9940BC02"/>
    <w:lvl w:ilvl="0" w:tplc="1B68AD84">
      <w:start w:val="1"/>
      <w:numFmt w:val="bullet"/>
      <w:lvlText w:val="●"/>
      <w:lvlJc w:val="left"/>
      <w:pPr>
        <w:ind w:left="720" w:hanging="360"/>
      </w:pPr>
    </w:lvl>
    <w:lvl w:ilvl="1" w:tplc="22D00B0C">
      <w:start w:val="1"/>
      <w:numFmt w:val="bullet"/>
      <w:lvlText w:val="○"/>
      <w:lvlJc w:val="left"/>
      <w:pPr>
        <w:ind w:left="1440" w:hanging="360"/>
      </w:pPr>
    </w:lvl>
    <w:lvl w:ilvl="2" w:tplc="2F86B32E">
      <w:start w:val="1"/>
      <w:numFmt w:val="bullet"/>
      <w:lvlText w:val="■"/>
      <w:lvlJc w:val="left"/>
      <w:pPr>
        <w:ind w:left="2160" w:hanging="360"/>
      </w:pPr>
    </w:lvl>
    <w:lvl w:ilvl="3" w:tplc="594E6C20">
      <w:start w:val="1"/>
      <w:numFmt w:val="bullet"/>
      <w:lvlText w:val="●"/>
      <w:lvlJc w:val="left"/>
      <w:pPr>
        <w:ind w:left="2880" w:hanging="360"/>
      </w:pPr>
    </w:lvl>
    <w:lvl w:ilvl="4" w:tplc="8C30A8CC">
      <w:start w:val="1"/>
      <w:numFmt w:val="bullet"/>
      <w:lvlText w:val="○"/>
      <w:lvlJc w:val="left"/>
      <w:pPr>
        <w:ind w:left="3600" w:hanging="360"/>
      </w:pPr>
    </w:lvl>
    <w:lvl w:ilvl="5" w:tplc="2982C4A4">
      <w:start w:val="1"/>
      <w:numFmt w:val="bullet"/>
      <w:lvlText w:val="■"/>
      <w:lvlJc w:val="left"/>
      <w:pPr>
        <w:ind w:left="4320" w:hanging="360"/>
      </w:pPr>
    </w:lvl>
    <w:lvl w:ilvl="6" w:tplc="5950E63A">
      <w:start w:val="1"/>
      <w:numFmt w:val="bullet"/>
      <w:lvlText w:val="●"/>
      <w:lvlJc w:val="left"/>
      <w:pPr>
        <w:ind w:left="5040" w:hanging="360"/>
      </w:pPr>
    </w:lvl>
    <w:lvl w:ilvl="7" w:tplc="FF145718">
      <w:start w:val="1"/>
      <w:numFmt w:val="bullet"/>
      <w:lvlText w:val="●"/>
      <w:lvlJc w:val="left"/>
      <w:pPr>
        <w:ind w:left="5760" w:hanging="360"/>
      </w:pPr>
    </w:lvl>
    <w:lvl w:ilvl="8" w:tplc="A2D2BEE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A9D6576"/>
    <w:multiLevelType w:val="hybridMultilevel"/>
    <w:tmpl w:val="74CE8F28"/>
    <w:lvl w:ilvl="0" w:tplc="9E56DDF2">
      <w:start w:val="1"/>
      <w:numFmt w:val="bullet"/>
      <w:lvlText w:val="•"/>
      <w:lvlJc w:val="left"/>
      <w:pPr>
        <w:ind w:left="720" w:hanging="360"/>
      </w:pPr>
    </w:lvl>
    <w:lvl w:ilvl="1" w:tplc="1FFC6850">
      <w:numFmt w:val="decimal"/>
      <w:lvlText w:val=""/>
      <w:lvlJc w:val="left"/>
    </w:lvl>
    <w:lvl w:ilvl="2" w:tplc="245421C0">
      <w:numFmt w:val="decimal"/>
      <w:lvlText w:val=""/>
      <w:lvlJc w:val="left"/>
    </w:lvl>
    <w:lvl w:ilvl="3" w:tplc="0C4AAD04">
      <w:numFmt w:val="decimal"/>
      <w:lvlText w:val=""/>
      <w:lvlJc w:val="left"/>
    </w:lvl>
    <w:lvl w:ilvl="4" w:tplc="11B6ED02">
      <w:numFmt w:val="decimal"/>
      <w:lvlText w:val=""/>
      <w:lvlJc w:val="left"/>
    </w:lvl>
    <w:lvl w:ilvl="5" w:tplc="ED987AFA">
      <w:numFmt w:val="decimal"/>
      <w:lvlText w:val=""/>
      <w:lvlJc w:val="left"/>
    </w:lvl>
    <w:lvl w:ilvl="6" w:tplc="352A1C0E">
      <w:numFmt w:val="decimal"/>
      <w:lvlText w:val=""/>
      <w:lvlJc w:val="left"/>
    </w:lvl>
    <w:lvl w:ilvl="7" w:tplc="C8A28C02">
      <w:numFmt w:val="decimal"/>
      <w:lvlText w:val=""/>
      <w:lvlJc w:val="left"/>
    </w:lvl>
    <w:lvl w:ilvl="8" w:tplc="BEF2DDB6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B8B"/>
    <w:rsid w:val="002A2239"/>
    <w:rsid w:val="00375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15917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2026-04-11T15:00:00Z</dcterms:created>
  <dcterms:modified xsi:type="dcterms:W3CDTF">2026-04-11T15:00:00Z</dcterms:modified>
</cp:coreProperties>
</file>