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60"/>
      </w:tblGrid>
      <w:tr w14:paraId="76EC4DFA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0B2545"/>
            <w:tcMar>
              <w:top w:w="520" w:type="dxa"/>
              <w:left w:w="520" w:type="dxa"/>
              <w:bottom w:w="520" w:type="dxa"/>
              <w:right w:w="520" w:type="dxa"/>
            </w:tcMar>
          </w:tcPr>
          <w:p w14:paraId="7FE2E59F">
            <w:pPr>
              <w:spacing w:before="0" w:after="80"/>
            </w:pPr>
            <w:bookmarkStart w:id="0" w:name="_GoBack"/>
            <w:bookmarkEnd w:id="0"/>
            <w:r>
              <w:rPr>
                <w:rFonts w:ascii="Calibri" w:hAnsi="Calibri" w:eastAsia="Calibri" w:cs="Calibri"/>
                <w:b/>
                <w:bCs/>
                <w:color w:val="C9A24B"/>
                <w:spacing w:val="60"/>
                <w:sz w:val="18"/>
                <w:szCs w:val="18"/>
              </w:rPr>
              <w:t>SKU · PRD-LRG-002</w:t>
            </w:r>
          </w:p>
          <w:p w14:paraId="5D2BE4FB">
            <w:pPr>
              <w:spacing w:before="0" w:after="80"/>
            </w:pPr>
            <w:r>
              <w:rPr>
                <w:rFonts w:ascii="Georgia" w:hAnsi="Georgia" w:eastAsia="Georgia" w:cs="Georgia"/>
                <w:b/>
                <w:bCs/>
                <w:color w:val="FFFFFF"/>
                <w:sz w:val="56"/>
                <w:szCs w:val="56"/>
              </w:rPr>
              <w:t>Local Representation &amp; Growth</w:t>
            </w:r>
          </w:p>
          <w:p w14:paraId="2144AF0B">
            <w:pPr>
              <w:spacing w:before="60" w:after="200"/>
            </w:pPr>
          </w:p>
          <w:p w14:paraId="082E890B">
            <w:pPr>
              <w:spacing w:before="0" w:after="0"/>
            </w:pPr>
            <w:r>
              <w:rPr>
                <w:rFonts w:ascii="Georgia" w:hAnsi="Georgia" w:eastAsia="Georgia" w:cs="Georgia"/>
                <w:i/>
                <w:iCs/>
                <w:color w:val="E6E1D3"/>
                <w:sz w:val="28"/>
                <w:szCs w:val="28"/>
              </w:rPr>
              <w:t>Boots on the ground, on retainer.</w:t>
            </w:r>
          </w:p>
          <w:p w14:paraId="67009639">
            <w:pPr>
              <w:spacing w:before="240" w:after="0"/>
            </w:pPr>
            <w:r>
              <w:rPr>
                <w:rFonts w:ascii="Calibri" w:hAnsi="Calibri" w:eastAsia="Calibri" w:cs="Calibri"/>
                <w:color w:val="E6E1D3"/>
                <w:sz w:val="22"/>
                <w:szCs w:val="22"/>
              </w:rPr>
              <w:t>An ongoing local presence representing your business — managing relationships, closing initial contracts, and feeding back market intelligence.</w:t>
            </w:r>
          </w:p>
        </w:tc>
      </w:tr>
    </w:tbl>
    <w:p w14:paraId="2B917A9D">
      <w:pPr>
        <w:spacing w:before="0" w:after="280"/>
      </w:pP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40"/>
        <w:gridCol w:w="2340"/>
        <w:gridCol w:w="2340"/>
        <w:gridCol w:w="2340"/>
      </w:tblGrid>
      <w:tr w14:paraId="01811F7F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4F1EA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2F8A1656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PRICE</w:t>
            </w:r>
          </w:p>
          <w:p w14:paraId="715FE2B0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Custom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EEF2F7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373FA6A2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DURATION</w:t>
            </w:r>
          </w:p>
          <w:p w14:paraId="46CFCBE2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6–12 months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4F1EA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220CFF85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PAYMENT</w:t>
            </w:r>
          </w:p>
          <w:p w14:paraId="140DB3F3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Monthly retainer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EEF2F7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795BF8BA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ENGAGEMENT</w:t>
            </w:r>
          </w:p>
          <w:p w14:paraId="6C70C636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Retainer</w:t>
            </w:r>
          </w:p>
        </w:tc>
      </w:tr>
    </w:tbl>
    <w:p w14:paraId="71E81B29">
      <w:pPr>
        <w:spacing w:before="0" w:after="280"/>
      </w:pP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60"/>
      </w:tblGrid>
      <w:tr w14:paraId="71C34212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9360" w:type="dxa"/>
            <w:tcBorders>
              <w:top w:val="nil"/>
              <w:left w:val="single" w:color="C9A24B" w:sz="24" w:space="0"/>
              <w:bottom w:val="nil"/>
              <w:right w:val="nil"/>
            </w:tcBorders>
            <w:shd w:val="clear" w:color="auto" w:fill="F4F1EA"/>
            <w:tcMar>
              <w:top w:w="240" w:type="dxa"/>
              <w:left w:w="320" w:type="dxa"/>
              <w:bottom w:w="240" w:type="dxa"/>
              <w:right w:w="320" w:type="dxa"/>
            </w:tcMar>
          </w:tcPr>
          <w:p w14:paraId="390C1EC0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C9A24B"/>
                <w:spacing w:val="80"/>
                <w:sz w:val="16"/>
                <w:szCs w:val="16"/>
              </w:rPr>
              <w:t>BEST FOR</w:t>
            </w:r>
          </w:p>
          <w:p w14:paraId="4DF206DF">
            <w:r>
              <w:rPr>
                <w:rFonts w:ascii="Georgia" w:hAnsi="Georgia" w:eastAsia="Georgia" w:cs="Georgia"/>
                <w:i/>
                <w:iCs/>
                <w:color w:val="0B2545"/>
                <w:sz w:val="22"/>
                <w:szCs w:val="22"/>
              </w:rPr>
              <w:t>Companies needing sustained local presence without hiring in-market.</w:t>
            </w:r>
          </w:p>
        </w:tc>
      </w:tr>
    </w:tbl>
    <w:p w14:paraId="16139C78">
      <w:pPr>
        <w:spacing w:before="0" w:after="320"/>
      </w:pPr>
    </w:p>
    <w:p w14:paraId="03076919">
      <w:pPr>
        <w:pBdr>
          <w:bottom w:val="single" w:color="C9A24B" w:sz="12" w:space="4"/>
        </w:pBdr>
        <w:spacing w:before="80" w:after="140"/>
      </w:pPr>
      <w:r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  <w:t>WHAT'S INCLUDED  /  OUTCOMES</w:t>
      </w: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680"/>
        <w:gridCol w:w="4680"/>
      </w:tblGrid>
      <w:tr w14:paraId="27B0A088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jc w:val="center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EEF2F7"/>
            <w:tcMar>
              <w:top w:w="280" w:type="dxa"/>
              <w:left w:w="360" w:type="dxa"/>
              <w:bottom w:w="280" w:type="dxa"/>
              <w:right w:w="360" w:type="dxa"/>
            </w:tcMar>
          </w:tcPr>
          <w:p w14:paraId="152FBFBB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pacing w:val="80"/>
                <w:sz w:val="18"/>
                <w:szCs w:val="18"/>
              </w:rPr>
              <w:t>WHAT'S INCLUDED</w:t>
            </w:r>
          </w:p>
          <w:p w14:paraId="5DF505F8">
            <w:pPr>
              <w:pBdr>
                <w:bottom w:val="single" w:color="0B2545" w:sz="8" w:space="2"/>
              </w:pBdr>
              <w:spacing w:after="240"/>
            </w:pPr>
          </w:p>
          <w:p w14:paraId="7F768524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On-the-ground presence in target market</w:t>
            </w:r>
          </w:p>
          <w:p w14:paraId="68507118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Ongoing partner and client relationship management</w:t>
            </w:r>
          </w:p>
          <w:p w14:paraId="7AC77298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Monthly pipeline and activity reporting</w:t>
            </w:r>
          </w:p>
          <w:p w14:paraId="727555DE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Local market intelligence and updates</w:t>
            </w:r>
          </w:p>
          <w:p w14:paraId="72664DC3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Coordination with your internal team</w:t>
            </w:r>
          </w:p>
          <w:p w14:paraId="4FCDDAC0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1–2 signed contracts and initial order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F4F1EA"/>
            <w:tcMar>
              <w:top w:w="280" w:type="dxa"/>
              <w:left w:w="360" w:type="dxa"/>
              <w:bottom w:w="280" w:type="dxa"/>
              <w:right w:w="360" w:type="dxa"/>
            </w:tcMar>
          </w:tcPr>
          <w:p w14:paraId="530C6598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C9A24B"/>
                <w:spacing w:val="80"/>
                <w:sz w:val="18"/>
                <w:szCs w:val="18"/>
              </w:rPr>
              <w:t>OUTCOMES YOU CAN EXPECT</w:t>
            </w:r>
          </w:p>
          <w:p w14:paraId="1A6E42EE">
            <w:pPr>
              <w:pBdr>
                <w:bottom w:val="single" w:color="C9A24B" w:sz="8" w:space="2"/>
              </w:pBdr>
              <w:spacing w:after="240"/>
            </w:pPr>
          </w:p>
          <w:p w14:paraId="49390A18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C9A24B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Active local representation without setting up an entity</w:t>
            </w:r>
          </w:p>
          <w:p w14:paraId="3311826C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C9A24B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Signed contracts and first commercial traction</w:t>
            </w:r>
          </w:p>
          <w:p w14:paraId="6DA56689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C9A24B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A continuous feedback loop on the market</w:t>
            </w:r>
          </w:p>
        </w:tc>
      </w:tr>
    </w:tbl>
    <w:p w14:paraId="54F7F08A">
      <w:pPr>
        <w:spacing w:before="0" w:after="320"/>
      </w:pPr>
    </w:p>
    <w:p w14:paraId="5DC9BA5C">
      <w:pPr>
        <w:pBdr>
          <w:bottom w:val="single" w:color="C9A24B" w:sz="12" w:space="4"/>
        </w:pBdr>
        <w:spacing w:before="80" w:after="140"/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</w:pPr>
    </w:p>
    <w:p w14:paraId="07CD8B37">
      <w:pPr>
        <w:pBdr>
          <w:bottom w:val="single" w:color="C9A24B" w:sz="12" w:space="4"/>
        </w:pBdr>
        <w:spacing w:before="80" w:after="140"/>
      </w:pPr>
      <w:r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  <w:t>HOW WE WORK</w:t>
      </w:r>
    </w:p>
    <w:tbl>
      <w:tblPr>
        <w:tblStyle w:val="9"/>
        <w:tblW w:w="9360" w:type="dxa"/>
        <w:jc w:val="center"/>
        <w:tblBorders>
          <w:top w:val="single" w:color="D9DEE5" w:sz="6" w:space="0"/>
          <w:left w:val="single" w:color="D9DEE5" w:sz="6" w:space="0"/>
          <w:bottom w:val="single" w:color="D9DEE5" w:sz="6" w:space="0"/>
          <w:right w:val="single" w:color="D9DEE5" w:sz="6" w:space="0"/>
          <w:insideH w:val="none" w:color="FFFFFF" w:sz="0" w:space="0"/>
          <w:insideV w:val="single" w:color="D9DEE5" w:sz="6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40"/>
        <w:gridCol w:w="2340"/>
        <w:gridCol w:w="2340"/>
        <w:gridCol w:w="2340"/>
      </w:tblGrid>
      <w:tr w14:paraId="7ACECA54">
        <w:tblPrEx>
          <w:tblBorders>
            <w:top w:val="single" w:color="D9DEE5" w:sz="6" w:space="0"/>
            <w:left w:val="single" w:color="D9DEE5" w:sz="6" w:space="0"/>
            <w:bottom w:val="single" w:color="D9DEE5" w:sz="6" w:space="0"/>
            <w:right w:val="single" w:color="D9DEE5" w:sz="6" w:space="0"/>
            <w:insideH w:val="none" w:color="FFFFFF" w:sz="0" w:space="0"/>
            <w:insideV w:val="single" w:color="D9DEE5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6C1FD4B3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01</w:t>
            </w:r>
          </w:p>
          <w:p w14:paraId="518EFBE4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Onboarding</w:t>
            </w:r>
          </w:p>
          <w:p w14:paraId="436A0734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Embed with your team, align on KPIs.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5CDAF49A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02</w:t>
            </w:r>
          </w:p>
          <w:p w14:paraId="71E57B85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Activation</w:t>
            </w:r>
          </w:p>
          <w:p w14:paraId="034CBA6D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Engage partners and prospects in-market.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609D2543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03</w:t>
            </w:r>
          </w:p>
          <w:p w14:paraId="6DACDB9D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Close</w:t>
            </w:r>
          </w:p>
          <w:p w14:paraId="432201ED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Negotiate and close 1–2 initial contracts.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0404BDF4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04</w:t>
            </w:r>
          </w:p>
          <w:p w14:paraId="049C7B7B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Report</w:t>
            </w:r>
          </w:p>
          <w:p w14:paraId="0587156E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Monthly pipeline and intelligence updates.</w:t>
            </w:r>
          </w:p>
        </w:tc>
      </w:tr>
    </w:tbl>
    <w:p w14:paraId="7D7FE6F6">
      <w:pPr>
        <w:spacing w:before="0" w:after="360"/>
      </w:pP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60"/>
      </w:tblGrid>
      <w:tr w14:paraId="3243A11C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13315C"/>
            <w:tcMar>
              <w:top w:w="420" w:type="dxa"/>
              <w:left w:w="420" w:type="dxa"/>
              <w:bottom w:w="420" w:type="dxa"/>
              <w:right w:w="420" w:type="dxa"/>
            </w:tcMar>
          </w:tcPr>
          <w:p w14:paraId="7B213997">
            <w:pPr>
              <w:spacing w:after="100"/>
            </w:pPr>
            <w:r>
              <w:rPr>
                <w:rFonts w:ascii="Calibri" w:hAnsi="Calibri" w:eastAsia="Calibri" w:cs="Calibri"/>
                <w:b/>
                <w:bCs/>
                <w:color w:val="C9A24B"/>
                <w:spacing w:val="80"/>
                <w:sz w:val="18"/>
                <w:szCs w:val="18"/>
              </w:rPr>
              <w:t>NEXT STEP</w:t>
            </w:r>
          </w:p>
          <w:p w14:paraId="013A5395">
            <w:r>
              <w:rPr>
                <w:rFonts w:ascii="Georgia" w:hAnsi="Georgia" w:eastAsia="Georgia" w:cs="Georgia"/>
                <w:color w:val="F1ECDD"/>
                <w:sz w:val="24"/>
                <w:szCs w:val="24"/>
              </w:rPr>
              <w:t>Reply to schedule a 20-minute scoping call. We will confirm fit, timeline, and a fixed price for your engagement.</w:t>
            </w:r>
          </w:p>
        </w:tc>
      </w:tr>
    </w:tbl>
    <w:p w14:paraId="14A8B2F4"/>
    <w:sectPr>
      <w:headerReference r:id="rId3" w:type="default"/>
      <w:footerReference r:id="rId4" w:type="default"/>
      <w:pgSz w:w="12240" w:h="15840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AAF62">
    <w:pPr>
      <w:pBdr>
        <w:top w:val="single" w:color="D9DEE5" w:sz="6" w:space="4"/>
      </w:pBdr>
      <w:tabs>
        <w:tab w:val="right" w:pos="9360"/>
      </w:tabs>
    </w:pPr>
    <w:r>
      <w:rPr>
        <w:rFonts w:hint="default" w:cs="Calibri"/>
        <w:color w:val="5B6675"/>
        <w:sz w:val="16"/>
        <w:szCs w:val="16"/>
        <w:lang w:val="en-US"/>
      </w:rPr>
      <w:t>www.scapartner.com . Info@scapartner.com</w:t>
    </w:r>
    <w:r>
      <w:rPr>
        <w:rFonts w:ascii="Calibri" w:hAnsi="Calibri" w:eastAsia="Calibri" w:cs="Calibri"/>
        <w:color w:val="5B6675"/>
        <w:sz w:val="16"/>
        <w:szCs w:val="16"/>
      </w:rPr>
      <w:tab/>
    </w:r>
    <w:r>
      <w:rPr>
        <w:rFonts w:ascii="Calibri" w:hAnsi="Calibri" w:eastAsia="Calibri" w:cs="Calibri"/>
        <w:color w:val="5B6675"/>
        <w:sz w:val="16"/>
        <w:szCs w:val="16"/>
      </w:rPr>
      <w:t xml:space="preserve">Page </w:t>
    </w:r>
    <w:r>
      <w:rPr>
        <w:rFonts w:ascii="Calibri" w:hAnsi="Calibri" w:eastAsia="Calibri" w:cs="Calibri"/>
        <w:color w:val="5B6675"/>
        <w:sz w:val="16"/>
        <w:szCs w:val="16"/>
      </w:rPr>
      <w:fldChar w:fldCharType="begin"/>
    </w:r>
    <w:r>
      <w:rPr>
        <w:rFonts w:ascii="Calibri" w:hAnsi="Calibri" w:eastAsia="Calibri" w:cs="Calibri"/>
        <w:color w:val="5B6675"/>
        <w:sz w:val="16"/>
        <w:szCs w:val="16"/>
      </w:rPr>
      <w:instrText xml:space="preserve">PAGE</w:instrText>
    </w:r>
    <w:r>
      <w:rPr>
        <w:rFonts w:ascii="Calibri" w:hAnsi="Calibri" w:eastAsia="Calibri" w:cs="Calibri"/>
        <w:color w:val="5B6675"/>
        <w:sz w:val="16"/>
        <w:szCs w:val="16"/>
      </w:rPr>
      <w:fldChar w:fldCharType="separate"/>
    </w:r>
    <w:r>
      <w:rPr>
        <w:rFonts w:ascii="Calibri" w:hAnsi="Calibri" w:eastAsia="Calibri" w:cs="Calibri"/>
        <w:color w:val="5B6675"/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507312">
    <w:pPr>
      <w:tabs>
        <w:tab w:val="right" w:pos="9360"/>
      </w:tabs>
      <w:rPr>
        <w:rFonts w:hint="default"/>
        <w:lang w:val="en-US"/>
      </w:rPr>
    </w:pPr>
    <w:r>
      <w:rPr>
        <w:rFonts w:hint="default" w:cs="Calibri"/>
        <w:b/>
        <w:bCs/>
        <w:color w:val="0B2545"/>
        <w:spacing w:val="80"/>
        <w:sz w:val="16"/>
        <w:szCs w:val="16"/>
        <w:lang w:val="en-US"/>
      </w:rPr>
      <w:t>SCA-</w:t>
    </w:r>
    <w:r>
      <w:rPr>
        <w:rFonts w:ascii="Calibri" w:hAnsi="Calibri" w:eastAsia="Calibri" w:cs="Calibri"/>
        <w:b/>
        <w:bCs/>
        <w:color w:val="0B2545"/>
        <w:spacing w:val="80"/>
        <w:sz w:val="16"/>
        <w:szCs w:val="16"/>
      </w:rPr>
      <w:t xml:space="preserve">PARTNER </w:t>
    </w:r>
    <w:r>
      <w:rPr>
        <w:rFonts w:ascii="Calibri" w:hAnsi="Calibri" w:eastAsia="Calibri" w:cs="Calibri"/>
        <w:color w:val="5B6675"/>
        <w:sz w:val="16"/>
        <w:szCs w:val="16"/>
      </w:rPr>
      <w:tab/>
    </w:r>
    <w:r>
      <w:rPr>
        <w:rFonts w:hint="default" w:cs="Calibri"/>
        <w:color w:val="5B6675"/>
        <w:sz w:val="16"/>
        <w:szCs w:val="16"/>
        <w:lang w:val="en-US"/>
      </w:rPr>
      <w:t>Presentation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compatSetting w:name="compatibilityMode" w:uri="http://schemas.microsoft.com/office/word" w:val="15"/>
  </w:compat>
  <w:rsids>
    <w:rsidRoot w:val="00000000"/>
    <w:rsid w:val="08CC6F17"/>
    <w:rsid w:val="633069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name="endnote reference"/>
    <w:lsdException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paragraph" w:styleId="2">
    <w:name w:val="heading 1"/>
    <w:next w:val="1"/>
    <w:qFormat/>
    <w:uiPriority w:val="0"/>
    <w:rPr>
      <w:rFonts w:ascii="Calibri" w:hAnsi="Calibri" w:eastAsia="Calibri" w:cs="Calibri"/>
      <w:color w:val="2E74B5"/>
      <w:sz w:val="32"/>
      <w:szCs w:val="32"/>
    </w:rPr>
  </w:style>
  <w:style w:type="paragraph" w:styleId="3">
    <w:name w:val="heading 2"/>
    <w:next w:val="1"/>
    <w:qFormat/>
    <w:uiPriority w:val="0"/>
    <w:rPr>
      <w:rFonts w:ascii="Calibri" w:hAnsi="Calibri" w:eastAsia="Calibri" w:cs="Calibri"/>
      <w:color w:val="2E74B5"/>
      <w:sz w:val="26"/>
      <w:szCs w:val="26"/>
    </w:rPr>
  </w:style>
  <w:style w:type="paragraph" w:styleId="4">
    <w:name w:val="heading 3"/>
    <w:next w:val="1"/>
    <w:qFormat/>
    <w:uiPriority w:val="0"/>
    <w:rPr>
      <w:rFonts w:ascii="Calibri" w:hAnsi="Calibri" w:eastAsia="Calibri" w:cs="Calibri"/>
      <w:color w:val="1F4D78"/>
      <w:sz w:val="24"/>
      <w:szCs w:val="24"/>
    </w:rPr>
  </w:style>
  <w:style w:type="paragraph" w:styleId="5">
    <w:name w:val="heading 4"/>
    <w:next w:val="1"/>
    <w:qFormat/>
    <w:uiPriority w:val="0"/>
    <w:rPr>
      <w:rFonts w:ascii="Calibri" w:hAnsi="Calibri" w:eastAsia="Calibri" w:cs="Calibri"/>
      <w:i/>
      <w:iCs/>
      <w:color w:val="2E74B5"/>
      <w:sz w:val="22"/>
      <w:szCs w:val="22"/>
    </w:rPr>
  </w:style>
  <w:style w:type="paragraph" w:styleId="6">
    <w:name w:val="heading 5"/>
    <w:next w:val="1"/>
    <w:qFormat/>
    <w:uiPriority w:val="0"/>
    <w:rPr>
      <w:rFonts w:ascii="Calibri" w:hAnsi="Calibri" w:eastAsia="Calibri" w:cs="Calibri"/>
      <w:color w:val="2E74B5"/>
      <w:sz w:val="22"/>
      <w:szCs w:val="22"/>
    </w:rPr>
  </w:style>
  <w:style w:type="paragraph" w:styleId="7">
    <w:name w:val="heading 6"/>
    <w:next w:val="1"/>
    <w:qFormat/>
    <w:uiPriority w:val="0"/>
    <w:rPr>
      <w:rFonts w:ascii="Calibri" w:hAnsi="Calibri" w:eastAsia="Calibri" w:cs="Calibri"/>
      <w:color w:val="1F4D78"/>
      <w:sz w:val="2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ndnote reference"/>
    <w:semiHidden/>
    <w:unhideWhenUsed/>
    <w:qFormat/>
    <w:uiPriority w:val="99"/>
    <w:rPr>
      <w:vertAlign w:val="superscript"/>
    </w:rPr>
  </w:style>
  <w:style w:type="paragraph" w:styleId="11">
    <w:name w:val="endnote text"/>
    <w:link w:val="18"/>
    <w:semiHidden/>
    <w:unhideWhenUsed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2">
    <w:name w:val="footnote reference"/>
    <w:semiHidden/>
    <w:unhideWhenUsed/>
    <w:qFormat/>
    <w:uiPriority w:val="99"/>
    <w:rPr>
      <w:vertAlign w:val="superscript"/>
    </w:rPr>
  </w:style>
  <w:style w:type="paragraph" w:styleId="13">
    <w:name w:val="footnote text"/>
    <w:link w:val="17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paragraph" w:styleId="15">
    <w:name w:val="Title"/>
    <w:qFormat/>
    <w:uiPriority w:val="0"/>
    <w:rPr>
      <w:rFonts w:ascii="Calibri" w:hAnsi="Calibri" w:eastAsia="Calibri" w:cs="Calibri"/>
      <w:sz w:val="56"/>
      <w:szCs w:val="56"/>
    </w:rPr>
  </w:style>
  <w:style w:type="paragraph" w:styleId="16">
    <w:name w:val="List Paragraph"/>
    <w:qFormat/>
    <w:uiPriority w:val="0"/>
    <w:rPr>
      <w:rFonts w:ascii="Calibri" w:hAnsi="Calibri" w:eastAsia="Calibri" w:cs="Calibri"/>
      <w:sz w:val="22"/>
      <w:szCs w:val="22"/>
    </w:rPr>
  </w:style>
  <w:style w:type="character" w:customStyle="1" w:styleId="17">
    <w:name w:val="Footnote Text Char"/>
    <w:link w:val="13"/>
    <w:semiHidden/>
    <w:unhideWhenUsed/>
    <w:qFormat/>
    <w:uiPriority w:val="99"/>
    <w:rPr>
      <w:sz w:val="20"/>
      <w:szCs w:val="20"/>
    </w:rPr>
  </w:style>
  <w:style w:type="character" w:customStyle="1" w:styleId="18">
    <w:name w:val="Endnote Text Char"/>
    <w:link w:val="11"/>
    <w:semiHidden/>
    <w:unhideWhenUsed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178</Words>
  <Characters>1027</Characters>
  <TotalTime>4</TotalTime>
  <ScaleCrop>false</ScaleCrop>
  <LinksUpToDate>false</LinksUpToDate>
  <CharactersWithSpaces>1175</CharactersWithSpaces>
  <Application>WPS Office_12.1.0.26880_F1E327BC-269C-435d-A152-05C5408002CA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2026-06-19T00:12:00Z</dcterms:created>
  <dc:creator>Lovable</dc:creator>
  <cp:lastModifiedBy>WPS_1777900358</cp:lastModifiedBy>
  <dcterms:modified xsi:type="dcterms:W3CDTF">2026-06-19T00:41:06Z</dcterms:modified>
  <dc:title>Local Representation &amp; Growth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eyJoZGlkIjoiN2ZlN2Q4NDViM2U5ZTY5NzliNWZmNWNlOTVlOThlOWIiLCJ1c2VySWQiOiIxNDk4MDg0NzIxNDcxMiJ9</vt:lpwstr>
  </property>
  <property fmtid="{D5CDD505-2E9C-101B-9397-08002B2CF9AE}" pid="3" name="KSOProductBuildVer">
    <vt:lpwstr>1033-12.1.0.26880</vt:lpwstr>
  </property>
  <property fmtid="{D5CDD505-2E9C-101B-9397-08002B2CF9AE}" pid="4" name="ICV">
    <vt:lpwstr>267D5AA49E174404B4C2E54E254BAA67_12</vt:lpwstr>
  </property>
</Properties>
</file>